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p w:rsidR="00000000" w:rsidDel="00000000" w:rsidP="00000000" w:rsidRDefault="00000000" w:rsidRPr="00000000" w14:paraId="0000000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definition is supplemental to those set out in Joint Schedule 1 (Definitions):</w:t>
      </w:r>
    </w:p>
    <w:p w:rsidR="00000000" w:rsidDel="00000000" w:rsidP="00000000" w:rsidRDefault="00000000" w:rsidRPr="00000000" w14:paraId="00000004">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Volume Discount</w:t>
      </w:r>
      <w:r w:rsidDel="00000000" w:rsidR="00000000" w:rsidRPr="00000000">
        <w:rPr>
          <w:rFonts w:ascii="Arial" w:cs="Arial" w:eastAsia="Arial" w:hAnsi="Arial"/>
          <w:sz w:val="24"/>
          <w:szCs w:val="24"/>
          <w:rtl w:val="0"/>
        </w:rPr>
        <w:t xml:space="preserve">”</w:t>
        <w:tab/>
        <w:t xml:space="preserve">the percentage discount to be applied by the Supplier in accordance with Paragraph 7 and/or Paragraph 8, as applicable.</w:t>
      </w:r>
    </w:p>
    <w:p w:rsidR="00000000" w:rsidDel="00000000" w:rsidP="00000000" w:rsidRDefault="00000000" w:rsidRPr="00000000" w14:paraId="0000000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the purposes of this Schedule only, references in this Schedule to “</w:t>
      </w:r>
      <w:r w:rsidDel="00000000" w:rsidR="00000000" w:rsidRPr="00000000">
        <w:rPr>
          <w:rFonts w:ascii="Arial" w:cs="Arial" w:eastAsia="Arial" w:hAnsi="Arial"/>
          <w:b w:val="1"/>
          <w:sz w:val="24"/>
          <w:szCs w:val="24"/>
          <w:rtl w:val="0"/>
        </w:rPr>
        <w:t xml:space="preserve">Contract Year</w:t>
      </w:r>
      <w:r w:rsidDel="00000000" w:rsidR="00000000" w:rsidRPr="00000000">
        <w:rPr>
          <w:rFonts w:ascii="Arial" w:cs="Arial" w:eastAsia="Arial" w:hAnsi="Arial"/>
          <w:sz w:val="24"/>
          <w:szCs w:val="24"/>
          <w:rtl w:val="0"/>
        </w:rPr>
        <w:t xml:space="preserve">” mean a consecutive period of twelve (12) Months commencing on the Framework Start Date or each anniversary thereof.</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284" w:hanging="284"/>
        <w:jc w:val="both"/>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   How Framework Prices are used to calculate Call-Off Charges</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Call-Off Contract; and</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Call-Off Contract; and</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 </w:t>
      </w:r>
    </w:p>
    <w:bookmarkStart w:colFirst="0" w:colLast="0" w:name="bookmark=id.3znysh7" w:id="1"/>
    <w:bookmarkEnd w:id="1"/>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b w:val="1"/>
          <w:color w:val="000000"/>
          <w:sz w:val="24"/>
          <w:szCs w:val="24"/>
        </w:rPr>
      </w:pPr>
      <w:bookmarkStart w:colFirst="0" w:colLast="0" w:name="_heading=h.30j0zll" w:id="2"/>
      <w:bookmarkEnd w:id="2"/>
      <w:r w:rsidDel="00000000" w:rsidR="00000000" w:rsidRPr="00000000">
        <w:rPr>
          <w:rFonts w:ascii="Arial" w:cs="Arial" w:eastAsia="Arial" w:hAnsi="Arial"/>
          <w:b w:val="1"/>
          <w:color w:val="000000"/>
          <w:sz w:val="24"/>
          <w:szCs w:val="24"/>
          <w:rtl w:val="0"/>
        </w:rPr>
        <w:t xml:space="preserve">   Costs and expenses included in the Framework Prices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 w:val="left" w:leader="none" w:pos="1980"/>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6 below, or otherwise stated in an Order Form, the Framework Prices shall include all costs and expenses relating to the provision of Deliverables. No further amounts shall be payable.</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Travel Time </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Time spent travelling shall not be chargeable except under Lot 4 only, where the applicable Call-Off Contract expressly permits travel time to be chargeable.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travel time is charged pursuant to Paragraph 3.1, it shall count towards the Volume Discount thresholds for Lot 4 for the purposes of Paragraph 8.</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b w:val="1"/>
          <w:color w:val="000000"/>
          <w:sz w:val="24"/>
          <w:szCs w:val="24"/>
        </w:rPr>
      </w:pPr>
      <w:bookmarkStart w:colFirst="0" w:colLast="0" w:name="_heading=h.2s8eyo1" w:id="4"/>
      <w:bookmarkEnd w:id="4"/>
      <w:r w:rsidDel="00000000" w:rsidR="00000000" w:rsidRPr="00000000">
        <w:rPr>
          <w:rFonts w:ascii="Arial" w:cs="Arial" w:eastAsia="Arial" w:hAnsi="Arial"/>
          <w:b w:val="1"/>
          <w:color w:val="000000"/>
          <w:sz w:val="24"/>
          <w:szCs w:val="24"/>
          <w:rtl w:val="0"/>
        </w:rPr>
        <w:t xml:space="preserve">  Indexation of the Framework Prices linked to inflation </w:t>
      </w:r>
    </w:p>
    <w:p w:rsidR="00000000" w:rsidDel="00000000" w:rsidP="00000000" w:rsidRDefault="00000000" w:rsidRPr="00000000" w14:paraId="00000014">
      <w:pPr>
        <w:jc w:val="both"/>
        <w:rPr>
          <w:rFonts w:ascii="Arial" w:cs="Arial" w:eastAsia="Arial" w:hAnsi="Arial"/>
          <w:sz w:val="24"/>
          <w:szCs w:val="24"/>
        </w:rPr>
      </w:pPr>
      <w:bookmarkStart w:colFirst="0" w:colLast="0" w:name="_heading=h.17dp8vu" w:id="5"/>
      <w:bookmarkEnd w:id="5"/>
      <w:r w:rsidDel="00000000" w:rsidR="00000000" w:rsidRPr="00000000">
        <w:rPr>
          <w:rFonts w:ascii="Arial" w:cs="Arial" w:eastAsia="Arial" w:hAnsi="Arial"/>
          <w:sz w:val="24"/>
          <w:szCs w:val="24"/>
          <w:rtl w:val="0"/>
        </w:rPr>
        <w:t xml:space="preserve">The following definitions are relevant to this Paragraph 4 and are supplemental to those set out in Joint Schedule 1 (Definitions):</w:t>
      </w:r>
    </w:p>
    <w:p w:rsidR="00000000" w:rsidDel="00000000" w:rsidP="00000000" w:rsidRDefault="00000000" w:rsidRPr="00000000" w14:paraId="00000015">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Current Framework Prices</w:t>
      </w:r>
      <w:r w:rsidDel="00000000" w:rsidR="00000000" w:rsidRPr="00000000">
        <w:rPr>
          <w:rFonts w:ascii="Arial" w:cs="Arial" w:eastAsia="Arial" w:hAnsi="Arial"/>
          <w:sz w:val="24"/>
          <w:szCs w:val="24"/>
          <w:rtl w:val="0"/>
        </w:rPr>
        <w:t xml:space="preserve">” the </w:t>
      </w:r>
      <w:r w:rsidDel="00000000" w:rsidR="00000000" w:rsidRPr="00000000">
        <w:rPr>
          <w:rFonts w:ascii="Arial" w:cs="Arial" w:eastAsia="Arial" w:hAnsi="Arial"/>
          <w:color w:val="000000"/>
          <w:sz w:val="24"/>
          <w:szCs w:val="24"/>
          <w:rtl w:val="0"/>
        </w:rPr>
        <w:t xml:space="preserve">Framework Prices which apply immediately prior to the relevant Inflation Change Date, and in relation to Lot 4 only discounting any increases made at any time pursuant to the Forex Tracker in Paragraph 10;</w:t>
      </w:r>
      <w:r w:rsidDel="00000000" w:rsidR="00000000" w:rsidRPr="00000000">
        <w:rPr>
          <w:rtl w:val="0"/>
        </w:rPr>
      </w:r>
    </w:p>
    <w:p w:rsidR="00000000" w:rsidDel="00000000" w:rsidP="00000000" w:rsidRDefault="00000000" w:rsidRPr="00000000" w14:paraId="00000016">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Inflation Change Date</w:t>
      </w:r>
      <w:r w:rsidDel="00000000" w:rsidR="00000000" w:rsidRPr="00000000">
        <w:rPr>
          <w:rFonts w:ascii="Arial" w:cs="Arial" w:eastAsia="Arial" w:hAnsi="Arial"/>
          <w:sz w:val="24"/>
          <w:szCs w:val="24"/>
          <w:rtl w:val="0"/>
        </w:rPr>
        <w:t xml:space="preserve">”</w:t>
        <w:tab/>
        <w:t xml:space="preserve">the second anniversary of the Framework Start Date</w:t>
      </w:r>
      <w:r w:rsidDel="00000000" w:rsidR="00000000" w:rsidRPr="00000000">
        <w:rPr>
          <w:rFonts w:ascii="Arial" w:cs="Arial" w:eastAsia="Arial" w:hAnsi="Arial"/>
          <w:sz w:val="24"/>
          <w:szCs w:val="24"/>
          <w:highlight w:val="white"/>
          <w:rtl w:val="0"/>
        </w:rPr>
        <w:t xml:space="preserve">, plus the third anniversary of the Framework Start Date if the Framework Contract is extended pursuant to Clause 10.1.2</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7">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Inflation Issue Date</w:t>
      </w:r>
      <w:r w:rsidDel="00000000" w:rsidR="00000000" w:rsidRPr="00000000">
        <w:rPr>
          <w:rFonts w:ascii="Arial" w:cs="Arial" w:eastAsia="Arial" w:hAnsi="Arial"/>
          <w:sz w:val="24"/>
          <w:szCs w:val="24"/>
          <w:rtl w:val="0"/>
        </w:rPr>
        <w:t xml:space="preserve">” </w:t>
        <w:tab/>
        <w:t xml:space="preserve">the most recent date prior to the Inflation Change Date on which</w:t>
      </w:r>
      <w:r w:rsidDel="00000000" w:rsidR="00000000" w:rsidRPr="00000000">
        <w:rPr>
          <w:rFonts w:ascii="Arial" w:cs="Arial" w:eastAsia="Arial" w:hAnsi="Arial"/>
          <w:color w:val="000000"/>
          <w:sz w:val="24"/>
          <w:szCs w:val="24"/>
          <w:rtl w:val="0"/>
        </w:rPr>
        <w:t xml:space="preserve"> the quarterly SPPI: Legal data is issued by the Office for National Statistics; </w:t>
      </w:r>
      <w:r w:rsidDel="00000000" w:rsidR="00000000" w:rsidRPr="00000000">
        <w:rPr>
          <w:rtl w:val="0"/>
        </w:rPr>
      </w:r>
    </w:p>
    <w:p w:rsidR="00000000" w:rsidDel="00000000" w:rsidP="00000000" w:rsidRDefault="00000000" w:rsidRPr="00000000" w14:paraId="00000018">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Inflation Review Period</w:t>
      </w:r>
      <w:r w:rsidDel="00000000" w:rsidR="00000000" w:rsidRPr="00000000">
        <w:rPr>
          <w:rFonts w:ascii="Arial" w:cs="Arial" w:eastAsia="Arial" w:hAnsi="Arial"/>
          <w:sz w:val="24"/>
          <w:szCs w:val="24"/>
          <w:rtl w:val="0"/>
        </w:rPr>
        <w:t xml:space="preserve">” </w:t>
        <w:tab/>
        <w:t xml:space="preserve">the twelve (12) month period preceding </w:t>
      </w:r>
      <w:r w:rsidDel="00000000" w:rsidR="00000000" w:rsidRPr="00000000">
        <w:rPr>
          <w:rFonts w:ascii="Arial" w:cs="Arial" w:eastAsia="Arial" w:hAnsi="Arial"/>
          <w:color w:val="000000"/>
          <w:sz w:val="24"/>
          <w:szCs w:val="24"/>
          <w:rtl w:val="0"/>
        </w:rPr>
        <w:t xml:space="preserve">the Inflation Issue Date;</w:t>
      </w:r>
      <w:r w:rsidDel="00000000" w:rsidR="00000000" w:rsidRPr="00000000">
        <w:rPr>
          <w:rtl w:val="0"/>
        </w:rPr>
      </w:r>
    </w:p>
    <w:p w:rsidR="00000000" w:rsidDel="00000000" w:rsidP="00000000" w:rsidRDefault="00000000" w:rsidRPr="00000000" w14:paraId="00000019">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Inflation Tracker</w:t>
      </w:r>
      <w:r w:rsidDel="00000000" w:rsidR="00000000" w:rsidRPr="00000000">
        <w:rPr>
          <w:rFonts w:ascii="Arial" w:cs="Arial" w:eastAsia="Arial" w:hAnsi="Arial"/>
          <w:sz w:val="24"/>
          <w:szCs w:val="24"/>
          <w:rtl w:val="0"/>
        </w:rPr>
        <w:t xml:space="preserve">”</w:t>
        <w:tab/>
        <w:t xml:space="preserve">the mechanism for the indexation of the Framework Prices in response to movements in the SPPI: Legal, as set out in this Paragraph 4; and</w:t>
      </w:r>
    </w:p>
    <w:p w:rsidR="00000000" w:rsidDel="00000000" w:rsidP="00000000" w:rsidRDefault="00000000" w:rsidRPr="00000000" w14:paraId="0000001A">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SPPI: Legal</w:t>
      </w:r>
      <w:r w:rsidDel="00000000" w:rsidR="00000000" w:rsidRPr="00000000">
        <w:rPr>
          <w:rFonts w:ascii="Arial" w:cs="Arial" w:eastAsia="Arial" w:hAnsi="Arial"/>
          <w:sz w:val="24"/>
          <w:szCs w:val="24"/>
          <w:rtl w:val="0"/>
        </w:rPr>
        <w:t xml:space="preserve">”</w:t>
        <w:tab/>
      </w:r>
      <w:r w:rsidDel="00000000" w:rsidR="00000000" w:rsidRPr="00000000">
        <w:rPr>
          <w:rFonts w:ascii="Arial" w:cs="Arial" w:eastAsia="Arial" w:hAnsi="Arial"/>
          <w:color w:val="000000"/>
          <w:sz w:val="24"/>
          <w:szCs w:val="24"/>
          <w:rtl w:val="0"/>
        </w:rPr>
        <w:t xml:space="preserve">Services Producer Price Index - Output Domestic - M6910 Legal Services as published by the Office For National Statistics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bookmarkStart w:colFirst="0" w:colLast="0" w:name="_heading=h.3rdcrjn" w:id="6"/>
      <w:bookmarkEnd w:id="6"/>
      <w:r w:rsidDel="00000000" w:rsidR="00000000" w:rsidRPr="00000000">
        <w:rPr>
          <w:rFonts w:ascii="Arial" w:cs="Arial" w:eastAsia="Arial" w:hAnsi="Arial"/>
          <w:color w:val="000000"/>
          <w:sz w:val="24"/>
          <w:szCs w:val="24"/>
          <w:rtl w:val="0"/>
        </w:rPr>
        <w:t xml:space="preserve">If the Supplier wants the Current Framework Prices to be increased in accordance with Paragraph 4.2 with effect from an Inflation Change Date, the Supplier shall give CCS notice by email to </w:t>
      </w:r>
      <w:r w:rsidDel="00000000" w:rsidR="00000000" w:rsidRPr="00000000">
        <w:rPr>
          <w:rFonts w:ascii="Arial" w:cs="Arial" w:eastAsia="Arial" w:hAnsi="Arial"/>
          <w:color w:val="000000"/>
          <w:sz w:val="24"/>
          <w:szCs w:val="24"/>
          <w:u w:val="single"/>
          <w:rtl w:val="0"/>
        </w:rPr>
        <w:t xml:space="preserve">info@crowncommercial.gov.uk</w:t>
      </w:r>
      <w:r w:rsidDel="00000000" w:rsidR="00000000" w:rsidRPr="00000000">
        <w:rPr>
          <w:rFonts w:ascii="Arial" w:cs="Arial" w:eastAsia="Arial" w:hAnsi="Arial"/>
          <w:color w:val="000000"/>
          <w:sz w:val="24"/>
          <w:szCs w:val="24"/>
          <w:rtl w:val="0"/>
        </w:rPr>
        <w:t xml:space="preserve"> at least three (3) Months' notice prior to that Inflation Change Date. If the Supplier does not give notice in time, then it will only be able to request an increase prior to the next Inflation Change Date (if any). Separate requests for an increase must be made in accordance with this Paragraph 4.1 for each Inflation Change Date.</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bookmarkStart w:colFirst="0" w:colLast="0" w:name="_heading=h.26in1rg" w:id="7"/>
      <w:bookmarkEnd w:id="7"/>
      <w:r w:rsidDel="00000000" w:rsidR="00000000" w:rsidRPr="00000000">
        <w:rPr>
          <w:rFonts w:ascii="Arial" w:cs="Arial" w:eastAsia="Arial" w:hAnsi="Arial"/>
          <w:color w:val="000000"/>
          <w:sz w:val="24"/>
          <w:szCs w:val="24"/>
          <w:rtl w:val="0"/>
        </w:rPr>
        <w:t xml:space="preserve">Where requested in accordance with Paragraph 4.1, the Current Framework Prices shall be adjusted on the relevant Inflation Change Date in line with changes in the SPPI: Legal as follows:</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a decrease in the SPPI: Legal over the Inflation Review Period, no adjustment will be made to the Current Framework Prices;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percentage increase in the SPPI: Legal over the Inflation Review Period is less than 2%, no adjustment will be made to the Current Framework Prices; </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percentage increase in the SPPI: Legal over the Inflation Review Period is between 2% and 3.9%, the Current Framework Prices shall be increased by 2% with effect from such Inflation Change Date; </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percentage increase in the SPPI: Legal over Inflation Review Period is between 4% and 5.9%, the Current Framework Prices shall be increased by 4% with effect from such Inflation Change Date; and</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percentage increase in the SPPI: Legal over the Inflation Review Period is equal to or in excess of 6%, the Current Framework Prices shall be increased by 6% with effect from such Inflation Change Date.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first Inflation Change Date is the second anniversary of the Framework Start Date, meaning that the Framework Prices shall not be adjusted pursuant to the Inflation Tracker during the first two (2) Contract Years.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second anniversary of the Framework Start Date and the third anniversary of the Framework Start Date (if applicable), the Inflation Tracker shall be applied (provided it has been requested in accordance with Paragraph 4.1 in each case) to the Current Framework Prices first, and then the Forex Tracker in Paragraph 10 will be applied to the Current Framework Prices as adjusted (if applicable) pursuant to the Inflation Tracker. </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 worked example of the Inflation Tracker is provided in Annex 3 for illustrative purposes.</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SPPI: Legal:     </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used to carry out an indexation calculation is updated then the indexation calculation shall also be updated unless CCS and the Supplier agree otherwise; or</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42" w:hanging="142"/>
        <w:jc w:val="both"/>
        <w:rPr>
          <w:rFonts w:ascii="Arial" w:cs="Arial" w:eastAsia="Arial" w:hAnsi="Arial"/>
          <w:b w:val="1"/>
          <w:color w:val="000000"/>
          <w:sz w:val="24"/>
          <w:szCs w:val="24"/>
        </w:rPr>
      </w:pPr>
      <w:bookmarkStart w:colFirst="0" w:colLast="0" w:name="_heading=h.lnxbz9" w:id="8"/>
      <w:bookmarkEnd w:id="8"/>
      <w:r w:rsidDel="00000000" w:rsidR="00000000" w:rsidRPr="00000000">
        <w:rPr>
          <w:rFonts w:ascii="Arial" w:cs="Arial" w:eastAsia="Arial" w:hAnsi="Arial"/>
          <w:b w:val="1"/>
          <w:color w:val="000000"/>
          <w:sz w:val="24"/>
          <w:szCs w:val="24"/>
          <w:rtl w:val="0"/>
        </w:rPr>
        <w:t xml:space="preserve">  Other events that allow the Supplier to propose a change to the Framework Prices</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due to:</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Call-Off Schedule 16 (Benchmarking);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b w:val="1"/>
          <w:color w:val="000000"/>
          <w:sz w:val="24"/>
          <w:szCs w:val="24"/>
        </w:rPr>
      </w:pPr>
      <w:bookmarkStart w:colFirst="0" w:colLast="0" w:name="_heading=h.35nkun2" w:id="9"/>
      <w:bookmarkEnd w:id="9"/>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When you will be entitled to expenses, Disbursements and other charges</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bookmarkStart w:colFirst="0" w:colLast="0" w:name="_heading=h.1ksv4uv" w:id="10"/>
      <w:bookmarkEnd w:id="10"/>
      <w:r w:rsidDel="00000000" w:rsidR="00000000" w:rsidRPr="00000000">
        <w:rPr>
          <w:rFonts w:ascii="Arial" w:cs="Arial" w:eastAsia="Arial" w:hAnsi="Arial"/>
          <w:color w:val="000000"/>
          <w:sz w:val="24"/>
          <w:szCs w:val="24"/>
          <w:rtl w:val="0"/>
        </w:rPr>
        <w:t xml:space="preserve">Expenses shall only be recoverable where:</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states that recovery is permitted; and</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bookmarkStart w:colFirst="0" w:colLast="0" w:name="_heading=h.tyjcwt" w:id="11"/>
      <w:bookmarkEnd w:id="11"/>
      <w:r w:rsidDel="00000000" w:rsidR="00000000" w:rsidRPr="00000000">
        <w:rPr>
          <w:rFonts w:ascii="Arial" w:cs="Arial" w:eastAsia="Arial" w:hAnsi="Arial"/>
          <w:color w:val="000000"/>
          <w:sz w:val="24"/>
          <w:szCs w:val="24"/>
          <w:rtl w:val="0"/>
        </w:rPr>
        <w:t xml:space="preserve">they are Reimbursable Expenses and are supported by Supporting Documentation.</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provide a copy of their current expenses policy to the Supplier upon request.</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stated within the Call-Off Order Form, and where the applicable invoice is supported by Supporting Documentation, the Supplier shall be entitled to be paid the following:</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Disbursements;</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Training Charge; and </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bookmarkStart w:colFirst="0" w:colLast="0" w:name="_heading=h.44sinio" w:id="12"/>
      <w:bookmarkEnd w:id="12"/>
      <w:r w:rsidDel="00000000" w:rsidR="00000000" w:rsidRPr="00000000">
        <w:rPr>
          <w:rFonts w:ascii="Arial" w:cs="Arial" w:eastAsia="Arial" w:hAnsi="Arial"/>
          <w:color w:val="000000"/>
          <w:sz w:val="24"/>
          <w:szCs w:val="24"/>
          <w:rtl w:val="0"/>
        </w:rPr>
        <w:t xml:space="preserve">Secondment Charges.     </w:t>
      </w:r>
    </w:p>
    <w:p w:rsidR="00000000" w:rsidDel="00000000" w:rsidP="00000000" w:rsidRDefault="00000000" w:rsidRPr="00000000" w14:paraId="00000037">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b w:val="1"/>
          <w:color w:val="000000"/>
          <w:sz w:val="24"/>
          <w:szCs w:val="24"/>
        </w:rPr>
      </w:pPr>
      <w:bookmarkStart w:colFirst="0" w:colLast="0" w:name="_heading=h.2jxsxqh" w:id="13"/>
      <w:bookmarkEnd w:id="13"/>
      <w:r w:rsidDel="00000000" w:rsidR="00000000" w:rsidRPr="00000000">
        <w:rPr>
          <w:rFonts w:ascii="Arial" w:cs="Arial" w:eastAsia="Arial" w:hAnsi="Arial"/>
          <w:b w:val="1"/>
          <w:color w:val="000000"/>
          <w:sz w:val="24"/>
          <w:szCs w:val="24"/>
          <w:rtl w:val="0"/>
        </w:rPr>
        <w:t xml:space="preserve">  Volume Discount arrangements for Lots 1, 2, 3 and 5 </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This Paragraph 7 applies to Volume Discounts submitted by a Supplier as part of their Framework Tender Response for Lot 1, Lot 2, Lot 3 or Lot 5.</w:t>
      </w:r>
      <w:r w:rsidDel="00000000" w:rsidR="00000000" w:rsidRPr="00000000">
        <w:rPr>
          <w:rtl w:val="0"/>
        </w:rPr>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expenses, Disbursement and other charges which the Supplier is entitled to be paid for under Paragraph 6 shall:</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be subject to the application of the Volume Discount; and</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count towards the thresholds in Paragraph 7.4;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134"/>
        </w:tabs>
        <w:spacing w:after="120" w:before="120" w:line="240" w:lineRule="auto"/>
        <w:ind w:left="6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references to “Charges” in this Paragraph 7 shall be construed to exclude such amounts.</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Volume Discounts will be expressed as a percentage reduction applicable to all Charges invoiced above the specified thresholds after each threshold has been met, as set out in Paragraph 7.4.</w:t>
      </w: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bookmarkStart w:colFirst="0" w:colLast="0" w:name="_heading=h.z337ya" w:id="14"/>
      <w:bookmarkEnd w:id="14"/>
      <w:r w:rsidDel="00000000" w:rsidR="00000000" w:rsidRPr="00000000">
        <w:rPr>
          <w:rFonts w:ascii="Arial" w:cs="Arial" w:eastAsia="Arial" w:hAnsi="Arial"/>
          <w:color w:val="000000"/>
          <w:sz w:val="24"/>
          <w:szCs w:val="24"/>
          <w:rtl w:val="0"/>
        </w:rPr>
        <w:t xml:space="preserve">The thresholds relate to all Charges invoiced to all Buyers by the Supplier under the Framework Contract within any Contract Year cumulatively across Lots 1, 2, 3 and 5 across all Call-Off Contracts. The Volume Discount thresholds are set as follows:</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threshold 1 is one million pounds sterling (£1m);</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threshold 2 is two and a half million pounds sterling (£2.5m);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threshold 3 is five million pounds sterling (£5m).</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Supplier has submitted invoices to Buyers under their Call-Off Contracts for Charges which either individually or collectively exceed the relevant threshold (e.g. threshold 1 is £1m) the relevant Volume Discount percentage will be automatically applied to the cost of Deliverables performed/provided from the 1st of the Month after the date and time the relevant threshold was met and shall apply to all subsequent Charges invoiced in respect of Deliverables performed/provided by the Supplier, until either:</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next Volume Discount threshold is reached (e.g. threshold 2 of £2.5m, or threshold 3 of £5m, as applicable); or</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Year ends, and the accumulated amounts invoiced are reset for the next Contract Year.</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Volume Discounts against each threshold set out in Table 1 of Annex 2 of this Schedule apply at the stated rate as discrete stand-alone discounts to all invoiced Charges for Deliverables performed/provided under Call-Off Contracts under all Lots which the Supplier is appointed to except Lot 4.</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Volume Discounts will be applied:</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percentage deduction to all invoiced Charges, regardless of Supplier Staff grade band or Pricing Mechanism used; and</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all invoiced Charges and not apportioned to particular Buyers;</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all invoiced Charges regardless of increases to Framework Prices or any component or sum thereto, in line with this Schedule; and</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of a Contract Year and will be re-set at the start of each Contract Year.</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must not impinge the accurate application of any Volume Discounts relative to the applicable date(s) upon which Deliverables were performed/provided.</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make any reference to its Volume Discounts or the proximity it is to any Volume Discount threshold in any responses to a direct award or Further Competition Procedure undertaken in accordance with Framework Schedule 7 (Call-Off Award Procedure) regarding any Call-Off Contract.  Volume Discounts shall not be taken into consideration by Buyers in determining the award of a Call-Off Contract.</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b w:val="1"/>
          <w:color w:val="000000"/>
          <w:sz w:val="24"/>
          <w:szCs w:val="24"/>
        </w:rPr>
      </w:pPr>
      <w:bookmarkStart w:colFirst="0" w:colLast="0" w:name="_heading=h.3dy6vkm" w:id="15"/>
      <w:bookmarkEnd w:id="15"/>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Volume Discount arrangements for Lot 4</w:t>
      </w:r>
    </w:p>
    <w:p w:rsidR="00000000" w:rsidDel="00000000" w:rsidP="00000000" w:rsidRDefault="00000000" w:rsidRPr="00000000" w14:paraId="0000004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definition is relevant to this Paragraph 8 and is supplemental to those set out in Joint Schedule 1 (Definitions):</w:t>
      </w:r>
    </w:p>
    <w:p w:rsidR="00000000" w:rsidDel="00000000" w:rsidP="00000000" w:rsidRDefault="00000000" w:rsidRPr="00000000" w14:paraId="0000004F">
      <w:pPr>
        <w:ind w:left="2835" w:hanging="2835"/>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“Hours</w:t>
      </w:r>
      <w:r w:rsidDel="00000000" w:rsidR="00000000" w:rsidRPr="00000000">
        <w:rPr>
          <w:rFonts w:ascii="Arial" w:cs="Arial" w:eastAsia="Arial" w:hAnsi="Arial"/>
          <w:color w:val="000000"/>
          <w:sz w:val="24"/>
          <w:szCs w:val="24"/>
          <w:rtl w:val="0"/>
        </w:rPr>
        <w:t xml:space="preserve">” </w:t>
        <w:tab/>
        <w:t xml:space="preserve">hours spent by the Supplier on the provision of the Deliverables under Lot 4 and which are invoiced to a Buyer by way of Charges.</w:t>
      </w:r>
      <w:r w:rsidDel="00000000" w:rsidR="00000000" w:rsidRPr="00000000">
        <w:rPr>
          <w:rtl w:val="0"/>
        </w:rPr>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This Paragraph 8 applies to Volume Discounts submitted by a Supplier as part of their Framework Tender Response for Lot 4. The Volume Discount mechanism under this Paragraph 8 applies:</w:t>
      </w:r>
      <w:r w:rsidDel="00000000" w:rsidR="00000000" w:rsidRPr="00000000">
        <w:rPr>
          <w:rtl w:val="0"/>
        </w:rPr>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Lot 4 only, and any work done by the Supplier under any other Lot shall not fall within the scope of the Volume Discount mechanism under this Paragraph 8;</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separately to each Call-Off Contract under Lot 4, meaning that the thresholds in Paragraph 8.4 apply per Call-Off Contract, and shall not be aggregated across one or more Call-Off Contracts.  </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Hours which relate to Secondment Charges, Additional Training Charges, and Disbursements, which the Supplier is entitled to be paid for under Paragraph 6.3 shall:</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be subject to the application of the Volume Discount; and</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count towards the thresholds in Paragraph 8.4;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134"/>
        </w:tabs>
        <w:spacing w:after="120" w:before="120" w:line="240" w:lineRule="auto"/>
        <w:ind w:left="5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references to “Charges” in this Paragraph 8 shall be construed to exclude such amounts.</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Volume Discounts will be expressed as a percentage reduction applicable to all Charges invoiced above the specified thresholds after each threshold has been met, as set out in Paragraph 8.4.</w:t>
      </w:r>
      <w:r w:rsidDel="00000000" w:rsidR="00000000" w:rsidRPr="00000000">
        <w:rPr>
          <w:rtl w:val="0"/>
        </w:rPr>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thresholds relate to all Hours invoiced by the Supplier under a Call-Off Contract. The Volume Discount thresholds are set as follows:</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threshold 1 is five hundred (500) Hours;</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threshold 2 is one thousand (1,000) Hours; and</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threshold 3 is three thousand (3,000) Hours.</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Supplier has submitted invoices to Buyers under each Call-Off Contract for Hours which exceed the relevant threshold (e.g. threshold 1 is 500 Hours) the relevant Volume Discount percentage will be automatically applied to the cost of Deliverables performed/provided from the 1st of the Month after the date and time the relevant threshold was met.  The Volume Discount percentage shall apply at that level to all subsequent Charges invoiced in respect of Deliverables performed/provided by the Supplier under the applicable Call-Off Contract for the remainder of the Call-Off Contract Period, or until the next Volume Discount threshold is reached (e.g. threshold 2 of 1,000 Hours, or threshold 3 of 3,000 Hours, as applicable). </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Volume Discounts against each threshold set out in Table 2 of Annex 2 of this Schedule apply at the stated rate as discrete stand-alone discounts to all invoiced Charges for Deliverables performed/provided under the relevant Call-Off Contract only.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Volume Discounts will be applied to the relevant Call-Off Contract:</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percentage deduction to all invoiced Charges, regardless of Supplier Staff grade band or Pricing Mechanism used; and</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all invoiced Charges; and</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all invoiced Charges regardless of increases to Framework Prices or any component or sum thereto, in line with this Schedule.</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must not impinge the accurate application of any Volume Discounts relative to the applicable date(s) upon which Deliverables were performed/provided.</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make any reference to its Volume Discounts in any responses to a direct award or Further Competition Procedure undertaken in accordance with Framework Schedule 7 (Call-Off Award Procedure) regarding any Call-Off Contract.  Volume Discounts shall not be taken into consideration by Buyers in determining the award of a Call-Off Contract.</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uses a Fixed Price charging mechanism for any Call-Off Contracts under Lot 4, the Supplier shall be required to provide timesheets to verify the Hours which are invoiced in relation to the Fixed Price, in order to permit the calculation and check the application of the Volume Discount for Lot 4.</w:t>
      </w:r>
    </w:p>
    <w:p w:rsidR="00000000" w:rsidDel="00000000" w:rsidP="00000000" w:rsidRDefault="00000000" w:rsidRPr="00000000" w14:paraId="000000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Volume Discount Monitoring under all Lots </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monitor all spend under this Framework Contract on a continual basis (using a common reference code in its billing and invoicing system or other means of easy identification) to ascertain when a Volume Discount threshold is met and to correctly apply the corresponding percentage of Volume Discount to all invoiced Charges from the 1st of the Month after the date and time the applicable Volume Discount takes effect.</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in writing:</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once any Volume Discount threshold is met; and</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all Buyers with whom it has an ongoing Call-Off Contract which is subject to the relevant Volume Discount of the date and time the applicable Volume Discount threshold is met and the fact that the applicable Volume Discount shall be applied from the 1st of the Month following on and from that date and time.</w:t>
      </w:r>
      <w:r w:rsidDel="00000000" w:rsidR="00000000" w:rsidRPr="00000000">
        <w:rPr>
          <w:rtl w:val="0"/>
        </w:rPr>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fails to implement the correct Volume Discount it shall:</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issue a credit note to relevant Buyers for the amount due; or</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there is an ongoing Call-Off Contract which is subject to the relevant Volume Discount, automatically reduce the next invoice to that Buyer to take into account and correct this discrepancy and correctly identify it as such within the Buyer’s invoice.</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information and co-operation which CCS and/or the Buyer may request regarding the application of Volume Discounts by the Supplier (including as Management Information and within required MI Reports) in order to support CCS and the Buyer in monitoring and assuring the timely and accurate application of Volume Discounts by the Supplier. </w:t>
      </w:r>
    </w:p>
    <w:p w:rsidR="00000000" w:rsidDel="00000000" w:rsidP="00000000" w:rsidRDefault="00000000" w:rsidRPr="00000000" w14:paraId="000000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6"/>
      <w:bookmarkEnd w:id="1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Indexation of pricing in response to foreign exchange rates for lot 4 only</w:t>
      </w:r>
      <w:r w:rsidDel="00000000" w:rsidR="00000000" w:rsidRPr="00000000">
        <w:rPr>
          <w:rtl w:val="0"/>
        </w:rPr>
      </w:r>
    </w:p>
    <w:p w:rsidR="00000000" w:rsidDel="00000000" w:rsidP="00000000" w:rsidRDefault="00000000" w:rsidRPr="00000000" w14:paraId="0000006F">
      <w:pPr>
        <w:jc w:val="both"/>
        <w:rPr>
          <w:rFonts w:ascii="Arial" w:cs="Arial" w:eastAsia="Arial" w:hAnsi="Arial"/>
          <w:sz w:val="24"/>
          <w:szCs w:val="24"/>
        </w:rPr>
      </w:pPr>
      <w:bookmarkStart w:colFirst="0" w:colLast="0" w:name="_heading=h.1y810tw" w:id="17"/>
      <w:bookmarkEnd w:id="17"/>
      <w:r w:rsidDel="00000000" w:rsidR="00000000" w:rsidRPr="00000000">
        <w:rPr>
          <w:rFonts w:ascii="Arial" w:cs="Arial" w:eastAsia="Arial" w:hAnsi="Arial"/>
          <w:sz w:val="24"/>
          <w:szCs w:val="24"/>
          <w:rtl w:val="0"/>
        </w:rPr>
        <w:t xml:space="preserve">The following definitions are relevant to this Paragraph 10 and are supplemental to those set out in Joint Schedule 1 (Definitions):</w:t>
      </w:r>
    </w:p>
    <w:p w:rsidR="00000000" w:rsidDel="00000000" w:rsidP="00000000" w:rsidRDefault="00000000" w:rsidRPr="00000000" w14:paraId="00000070">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Current Lot 4 Prices</w:t>
      </w:r>
      <w:r w:rsidDel="00000000" w:rsidR="00000000" w:rsidRPr="00000000">
        <w:rPr>
          <w:rFonts w:ascii="Arial" w:cs="Arial" w:eastAsia="Arial" w:hAnsi="Arial"/>
          <w:sz w:val="24"/>
          <w:szCs w:val="24"/>
          <w:rtl w:val="0"/>
        </w:rPr>
        <w:t xml:space="preserve">”</w:t>
        <w:tab/>
        <w:t xml:space="preserve">the Framework Prices for Lot 4 </w:t>
      </w:r>
      <w:r w:rsidDel="00000000" w:rsidR="00000000" w:rsidRPr="00000000">
        <w:rPr>
          <w:rFonts w:ascii="Arial" w:cs="Arial" w:eastAsia="Arial" w:hAnsi="Arial"/>
          <w:color w:val="000000"/>
          <w:sz w:val="24"/>
          <w:szCs w:val="24"/>
          <w:rtl w:val="0"/>
        </w:rPr>
        <w:t xml:space="preserve">which apply immediately prior to </w:t>
      </w:r>
      <w:r w:rsidDel="00000000" w:rsidR="00000000" w:rsidRPr="00000000">
        <w:rPr>
          <w:rFonts w:ascii="Arial" w:cs="Arial" w:eastAsia="Arial" w:hAnsi="Arial"/>
          <w:sz w:val="24"/>
          <w:szCs w:val="24"/>
          <w:rtl w:val="0"/>
        </w:rPr>
        <w:t xml:space="preserve">the relevant Forex Change Date, discounting any increases made at any time pursuant to the Forex Tracker;</w:t>
      </w:r>
    </w:p>
    <w:p w:rsidR="00000000" w:rsidDel="00000000" w:rsidP="00000000" w:rsidRDefault="00000000" w:rsidRPr="00000000" w14:paraId="00000071">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Forex Change Date</w:t>
      </w:r>
      <w:r w:rsidDel="00000000" w:rsidR="00000000" w:rsidRPr="00000000">
        <w:rPr>
          <w:rFonts w:ascii="Arial" w:cs="Arial" w:eastAsia="Arial" w:hAnsi="Arial"/>
          <w:sz w:val="24"/>
          <w:szCs w:val="24"/>
          <w:rtl w:val="0"/>
        </w:rPr>
        <w:t xml:space="preserve">”</w:t>
        <w:tab/>
        <w:t xml:space="preserve">the first and second anniversaries of the Framework Start Date, plus the third anniversary of the Framework Start Date if the Framework Contract is extended pursuant to Clause 10.1.2;</w:t>
      </w:r>
    </w:p>
    <w:p w:rsidR="00000000" w:rsidDel="00000000" w:rsidP="00000000" w:rsidRDefault="00000000" w:rsidRPr="00000000" w14:paraId="00000072">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Forex Review Date</w:t>
      </w:r>
      <w:r w:rsidDel="00000000" w:rsidR="00000000" w:rsidRPr="00000000">
        <w:rPr>
          <w:rFonts w:ascii="Arial" w:cs="Arial" w:eastAsia="Arial" w:hAnsi="Arial"/>
          <w:sz w:val="24"/>
          <w:szCs w:val="24"/>
          <w:rtl w:val="0"/>
        </w:rPr>
        <w:t xml:space="preserve">”</w:t>
        <w:tab/>
        <w:t xml:space="preserve">the first Working Day which falls thirty (30) days prior to each Forex Change Date;</w:t>
      </w:r>
    </w:p>
    <w:p w:rsidR="00000000" w:rsidDel="00000000" w:rsidP="00000000" w:rsidRDefault="00000000" w:rsidRPr="00000000" w14:paraId="00000073">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Forex Review Period</w:t>
      </w:r>
      <w:r w:rsidDel="00000000" w:rsidR="00000000" w:rsidRPr="00000000">
        <w:rPr>
          <w:rFonts w:ascii="Arial" w:cs="Arial" w:eastAsia="Arial" w:hAnsi="Arial"/>
          <w:sz w:val="24"/>
          <w:szCs w:val="24"/>
          <w:rtl w:val="0"/>
        </w:rPr>
        <w:t xml:space="preserve">”</w:t>
        <w:tab/>
        <w:t xml:space="preserve">means the twelve (12) month period preceding each Forex Review Date; and</w:t>
      </w:r>
    </w:p>
    <w:p w:rsidR="00000000" w:rsidDel="00000000" w:rsidP="00000000" w:rsidRDefault="00000000" w:rsidRPr="00000000" w14:paraId="00000074">
      <w:pPr>
        <w:ind w:left="2835" w:hanging="2835"/>
        <w:jc w:val="both"/>
        <w:rPr>
          <w:rFonts w:ascii="Arial" w:cs="Arial" w:eastAsia="Arial" w:hAnsi="Arial"/>
          <w:color w:val="000000"/>
          <w:sz w:val="24"/>
          <w:szCs w:val="24"/>
          <w:highlight w:val="white"/>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Forex Tracker</w:t>
      </w:r>
      <w:r w:rsidDel="00000000" w:rsidR="00000000" w:rsidRPr="00000000">
        <w:rPr>
          <w:rFonts w:ascii="Arial" w:cs="Arial" w:eastAsia="Arial" w:hAnsi="Arial"/>
          <w:sz w:val="24"/>
          <w:szCs w:val="24"/>
          <w:rtl w:val="0"/>
        </w:rPr>
        <w:t xml:space="preserve">”</w:t>
        <w:tab/>
        <w:t xml:space="preserve">the mechanism for the indexation of the Framework Prices in response to movements in foreign exchange rates, as set out in </w:t>
      </w:r>
      <w:r w:rsidDel="00000000" w:rsidR="00000000" w:rsidRPr="00000000">
        <w:rPr>
          <w:rFonts w:ascii="Arial" w:cs="Arial" w:eastAsia="Arial" w:hAnsi="Arial"/>
          <w:color w:val="000000"/>
          <w:sz w:val="24"/>
          <w:szCs w:val="24"/>
          <w:highlight w:val="white"/>
          <w:rtl w:val="0"/>
        </w:rPr>
        <w:t xml:space="preserve">this Paragraph 10.</w:t>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8"/>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i7ojhp" w:id="18"/>
      <w:bookmarkEnd w:id="18"/>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Framework Prices and all payments for Services delivered under this Framework will be in Pounds Sterling (GBP) only.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Notwithstanding Paragraph 10.1, given the international nature of Services provided under Lot 4 of the Framework Contract, the Authority will permit tiered increases to Framework Prices (on Lot 4 only) based on currency fluctuations which impact US Dollars (USD) or Euros (EUR) against Pounds Sterling (GBP), in accordance with the Forex Tracker in Paragraph 10.3.  </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8"/>
        <w:jc w:val="both"/>
        <w:rPr>
          <w:rFonts w:ascii="Arial" w:cs="Arial" w:eastAsia="Arial" w:hAnsi="Arial"/>
          <w:b w:val="0"/>
          <w:i w:val="0"/>
          <w:smallCaps w:val="0"/>
          <w:strike w:val="0"/>
          <w:color w:val="000000"/>
          <w:sz w:val="24"/>
          <w:szCs w:val="24"/>
          <w:highlight w:val="white"/>
          <w:u w:val="none"/>
          <w:vertAlign w:val="baseline"/>
        </w:rPr>
      </w:pPr>
      <w:bookmarkStart w:colFirst="0" w:colLast="0" w:name="_heading=h.2xcytpi" w:id="19"/>
      <w:bookmarkEnd w:id="19"/>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If over the course of a Forex Review Period the average forex rate for the selected currency against GBP is:</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less than 3% higher than the forex rate at the Framework Start Date, the Current Lot 4 Prices shall not be increased;</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at least 3% (but less than 5%) higher than the forex rate at the Framework Start Date, the Current Lot 4 Prices shall be increased by 3%; </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at least 5% (but less than 10%) higher than the forex rate at the Framework Start Date, the Current Lot 4 Prices shall be increased by 5%; and</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at least 10% higher than the forex rate at the Framework Start Date, the Current Lot 4 Prices shall be increased by 10%;</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567" w:firstLine="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and in each case such increases shall be applied from the relevant Forex Change Date, and shall remain in force until the next Forex Change Date. </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281"/>
        <w:jc w:val="both"/>
        <w:rPr>
          <w:rFonts w:ascii="Arial" w:cs="Arial" w:eastAsia="Arial" w:hAnsi="Arial"/>
          <w:b w:val="0"/>
          <w:i w:val="0"/>
          <w:smallCaps w:val="0"/>
          <w:strike w:val="0"/>
          <w:color w:val="000000"/>
          <w:sz w:val="24"/>
          <w:szCs w:val="24"/>
          <w:highlight w:val="white"/>
          <w:u w:val="none"/>
          <w:vertAlign w:val="baseline"/>
        </w:rPr>
      </w:pPr>
      <w:bookmarkStart w:colFirst="0" w:colLast="0" w:name="_heading=h.1ci93xb" w:id="20"/>
      <w:bookmarkEnd w:id="20"/>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maximum rate increase will be 10%, excepting extreme events, to which the following provisions apply:​</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An extreme events scenario shall be defined as an extreme currency fluctuation where USD or EUR increase 15% or more against GBP over a consecutive period of at least 3 months. </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Prices shall not automatically increase in the event of an extreme events scenario but the Supplier can apply for a temporary increase in Framework Prices providing it is are able to demonstrate sufficient justification in writing.​ The extreme events increase, if granted, would be time-limited and at a level and for a period specified by the Authority, whose determination shall be final.</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kinds of information, factors and representations to be provided by the Supplier when applying for a Framework Price increase based on one or more extreme events includes:</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1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 breakdown of the profit and cost components that comprise the relevant Framework Price; </w:t>
      </w:r>
    </w:p>
    <w:p w:rsidR="00000000" w:rsidDel="00000000" w:rsidP="00000000" w:rsidRDefault="00000000" w:rsidRPr="00000000" w14:paraId="0000008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1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details of the movement in the different identified cost components of the relevant Framework Price;</w:t>
      </w:r>
    </w:p>
    <w:p w:rsidR="00000000" w:rsidDel="00000000" w:rsidP="00000000" w:rsidRDefault="00000000" w:rsidRPr="00000000" w14:paraId="0000008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1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reasons for the movement in the different identified cost components of the relevant Framework Price;</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1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evidence that the Supplier has attempted to mitigate against the increase in the relevant cost components.</w:t>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281"/>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Average annual exchange rate fluctuation will be calculated using the Bank of England exchange rates.​ </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281"/>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On the second Forex Change Date and on the third Forex Change Date (if applicable), the Framework Prices as adjusted on the previous Forex Change Date pursuant to the Forex Tracker will be adjusted to the Current Lot 4 Prices. Those Current Lot 4 Prices may be subject to further adjustment under the Forex Tracker with effect from the relevant Forex Change Date, if the exchange rate thresholds set out in Paragraph 10.3 are met or exceeded. Increases will neither be compounded nor cumulative and therefore, subject to Paragraph 10.4, increases made pursuant to the Forex Tracker shall never normally exceed 10% of the Current Lot 4 Prices​</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281"/>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Forex Tracker is available to all Suppliers appointed to any part of Lot 4 regardless of their registered domicile and headquarters. Suppliers will select which currency (USD or EUR) to be tracked against at the beginning of the Framework Agreement and will not be able to switch currencies.​</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281"/>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a relevant threshold in the Forex Tracker is met or exceeded, the increase to Framework Prices under Lot 4 of the Framework Contract will be for the Supplier to implement in its invoices. </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281"/>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rate increase applies only to the Framework Prices that can be charged under the Framework Contract, and shall not affect the Framework Prices payable by a Buyer under a Call-off Contract in force at the time the increase under the Forex Tracker is applied.</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28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 worked example is provided in Annex 3 for illustrative purposes.</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 application of Inflation Tracker, Forex Tracker or volume discount to other costs</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281"/>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Inflation Tracker, Forex Tracker and Volume Discount mechanism only apply to the Framework Prices.  All other costs, expenses, fees and charges (including those set out in Paragraph 5) shall not be adjusted to take account of any inflation, change to exchange rate, change to interest rate or any other factor or element which might otherwise increase the cost to the Supplier. </w:t>
      </w:r>
    </w:p>
    <w:p w:rsidR="00000000" w:rsidDel="00000000" w:rsidP="00000000" w:rsidRDefault="00000000" w:rsidRPr="00000000" w14:paraId="0000008D">
      <w:pPr>
        <w:tabs>
          <w:tab w:val="left" w:leader="none" w:pos="0"/>
        </w:tabs>
        <w:spacing w:after="120" w:before="120" w:lineRule="auto"/>
        <w:ind w:left="3040" w:hanging="138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8E">
      <w:pPr>
        <w:tabs>
          <w:tab w:val="left" w:leader="none" w:pos="0"/>
        </w:tabs>
        <w:spacing w:after="240" w:before="240" w:lineRule="auto"/>
        <w:ind w:left="360" w:firstLine="0"/>
        <w:jc w:val="both"/>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8F">
      <w:pPr>
        <w:rPr>
          <w:rFonts w:ascii="Arial" w:cs="Arial" w:eastAsia="Arial" w:hAnsi="Arial"/>
          <w:b w:val="1"/>
          <w:sz w:val="24"/>
          <w:szCs w:val="24"/>
        </w:rPr>
      </w:pPr>
      <w:bookmarkStart w:colFirst="0" w:colLast="0" w:name="_heading=h.1t3h5sf" w:id="21"/>
      <w:bookmarkEnd w:id="21"/>
      <w:r w:rsidDel="00000000" w:rsidR="00000000" w:rsidRPr="00000000">
        <w:br w:type="page"/>
      </w:r>
      <w:r w:rsidDel="00000000" w:rsidR="00000000" w:rsidRPr="00000000">
        <w:rPr>
          <w:rFonts w:ascii="Arial" w:cs="Arial" w:eastAsia="Arial" w:hAnsi="Arial"/>
          <w:b w:val="1"/>
          <w:sz w:val="24"/>
          <w:szCs w:val="24"/>
          <w:rtl w:val="0"/>
        </w:rPr>
        <w:t xml:space="preserve">Annex 1: Framework Prices</w:t>
      </w:r>
    </w:p>
    <w:p w:rsidR="00000000" w:rsidDel="00000000" w:rsidP="00000000" w:rsidRDefault="00000000" w:rsidRPr="00000000" w14:paraId="00000090">
      <w:pPr>
        <w:rPr>
          <w:rFonts w:ascii="Arial" w:cs="Arial" w:eastAsia="Arial" w:hAnsi="Arial"/>
          <w:b w:val="1"/>
          <w:sz w:val="24"/>
          <w:szCs w:val="24"/>
        </w:rPr>
      </w:pPr>
      <w:bookmarkStart w:colFirst="0" w:colLast="0" w:name="_heading=h.4d34og8" w:id="22"/>
      <w:bookmarkEnd w:id="22"/>
      <w:r w:rsidDel="00000000" w:rsidR="00000000" w:rsidRPr="00000000">
        <w:rPr>
          <w:rFonts w:ascii="Arial" w:cs="Arial" w:eastAsia="Arial" w:hAnsi="Arial"/>
          <w:b w:val="1"/>
          <w:sz w:val="24"/>
          <w:szCs w:val="24"/>
          <w:rtl w:val="0"/>
        </w:rPr>
        <w:t xml:space="preserve">Table 1: Lot 1</w:t>
      </w:r>
    </w:p>
    <w:tbl>
      <w:tblPr>
        <w:tblStyle w:val="Table1"/>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9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9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3">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0A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2: Lot 2</w:t>
      </w:r>
    </w:p>
    <w:tbl>
      <w:tblPr>
        <w:tblStyle w:val="Table2"/>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A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A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8">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A">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E">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0">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2">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3">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4">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5">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0B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3: Lot 3</w:t>
      </w:r>
    </w:p>
    <w:tbl>
      <w:tblPr>
        <w:tblStyle w:val="Table3"/>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B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B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B">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D">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E">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0">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2">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3">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4">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5">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6">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8">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9">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0C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4: Lot 4a</w:t>
      </w:r>
    </w:p>
    <w:tbl>
      <w:tblPr>
        <w:tblStyle w:val="Table4"/>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C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C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F">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Counsel/Senior 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0">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1">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2">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3">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4">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5">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6">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7">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8">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9">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A">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B">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D">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E">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F">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1">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Analyst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3">
            <w:pPr>
              <w:rPr>
                <w:rFonts w:ascii="Arial" w:cs="Arial" w:eastAsia="Arial" w:hAnsi="Arial"/>
                <w:color w:val="ff0000"/>
                <w:sz w:val="24"/>
                <w:szCs w:val="24"/>
              </w:rPr>
            </w:pPr>
            <w:r w:rsidDel="00000000" w:rsidR="00000000" w:rsidRPr="00000000">
              <w:rPr>
                <w:rFonts w:ascii="Arial" w:cs="Arial" w:eastAsia="Arial" w:hAnsi="Arial"/>
                <w:strike w:val="1"/>
                <w:sz w:val="24"/>
                <w:szCs w:val="24"/>
                <w:rtl w:val="0"/>
              </w:rPr>
              <w:t xml:space="preserve">Analyst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0000"/>
                <w:sz w:val="24"/>
                <w:szCs w:val="24"/>
                <w:rtl w:val="0"/>
              </w:rPr>
              <w:t xml:space="preserve">Analyst/Associate Analyst/ Research Associate/Research Officer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5">
            <w:pPr>
              <w:rPr>
                <w:rFonts w:ascii="Arial" w:cs="Arial" w:eastAsia="Arial" w:hAnsi="Arial"/>
                <w:color w:val="ff0000"/>
                <w:sz w:val="24"/>
                <w:szCs w:val="24"/>
              </w:rPr>
            </w:pPr>
            <w:r w:rsidDel="00000000" w:rsidR="00000000" w:rsidRPr="00000000">
              <w:rPr>
                <w:rFonts w:ascii="Arial" w:cs="Arial" w:eastAsia="Arial" w:hAnsi="Arial"/>
                <w:strike w:val="1"/>
                <w:sz w:val="24"/>
                <w:szCs w:val="24"/>
                <w:rtl w:val="0"/>
              </w:rPr>
              <w:t xml:space="preserve">Senior Modeller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0000"/>
                <w:sz w:val="24"/>
                <w:szCs w:val="24"/>
                <w:rtl w:val="0"/>
              </w:rPr>
              <w:t xml:space="preserve">Senior Modeller/Senior Econometrician/Senior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7">
            <w:pPr>
              <w:rPr>
                <w:rFonts w:ascii="Arial" w:cs="Arial" w:eastAsia="Arial" w:hAnsi="Arial"/>
                <w:color w:val="ff0000"/>
                <w:sz w:val="24"/>
                <w:szCs w:val="24"/>
              </w:rPr>
            </w:pPr>
            <w:r w:rsidDel="00000000" w:rsidR="00000000" w:rsidRPr="00000000">
              <w:rPr>
                <w:rFonts w:ascii="Arial" w:cs="Arial" w:eastAsia="Arial" w:hAnsi="Arial"/>
                <w:strike w:val="1"/>
                <w:sz w:val="24"/>
                <w:szCs w:val="24"/>
                <w:rtl w:val="0"/>
              </w:rPr>
              <w:t xml:space="preserve">Modelle</w:t>
            </w:r>
            <w:r w:rsidDel="00000000" w:rsidR="00000000" w:rsidRPr="00000000">
              <w:rPr>
                <w:rFonts w:ascii="Arial" w:cs="Arial" w:eastAsia="Arial" w:hAnsi="Arial"/>
                <w:sz w:val="24"/>
                <w:szCs w:val="24"/>
                <w:rtl w:val="0"/>
              </w:rPr>
              <w:t xml:space="preserve">r </w:t>
            </w:r>
            <w:r w:rsidDel="00000000" w:rsidR="00000000" w:rsidRPr="00000000">
              <w:rPr>
                <w:rFonts w:ascii="Arial" w:cs="Arial" w:eastAsia="Arial" w:hAnsi="Arial"/>
                <w:color w:val="ff0000"/>
                <w:sz w:val="24"/>
                <w:szCs w:val="24"/>
                <w:rtl w:val="0"/>
              </w:rPr>
              <w:t xml:space="preserve">Modeller/Econometrician, Analyst/Associate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0E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5: Lot 4b</w:t>
      </w:r>
    </w:p>
    <w:tbl>
      <w:tblPr>
        <w:tblStyle w:val="Table5"/>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EB">
            <w:pPr>
              <w:rPr>
                <w:rFonts w:ascii="Arial" w:cs="Arial" w:eastAsia="Arial" w:hAnsi="Arial"/>
                <w:sz w:val="24"/>
                <w:szCs w:val="24"/>
              </w:rPr>
            </w:pPr>
            <w:r w:rsidDel="00000000" w:rsidR="00000000" w:rsidRPr="00000000">
              <w:rPr>
                <w:rFonts w:ascii="Arial" w:cs="Arial" w:eastAsia="Arial" w:hAnsi="Arial"/>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E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D">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Counsel/Senior 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E">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F">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0">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1">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2">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3">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4">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5">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6">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7">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8">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9">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A">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B">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D">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F">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Analyst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1">
            <w:pPr>
              <w:rPr>
                <w:rFonts w:ascii="Arial" w:cs="Arial" w:eastAsia="Arial" w:hAnsi="Arial"/>
                <w:color w:val="ff0000"/>
                <w:sz w:val="24"/>
                <w:szCs w:val="24"/>
              </w:rPr>
            </w:pPr>
            <w:r w:rsidDel="00000000" w:rsidR="00000000" w:rsidRPr="00000000">
              <w:rPr>
                <w:rFonts w:ascii="Arial" w:cs="Arial" w:eastAsia="Arial" w:hAnsi="Arial"/>
                <w:strike w:val="1"/>
                <w:sz w:val="24"/>
                <w:szCs w:val="24"/>
                <w:rtl w:val="0"/>
              </w:rPr>
              <w:t xml:space="preserve">Analyst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0000"/>
                <w:sz w:val="24"/>
                <w:szCs w:val="24"/>
                <w:rtl w:val="0"/>
              </w:rPr>
              <w:t xml:space="preserve">Analyst/Associate Analyst/ Research Associate/Research Officer Analyst</w:t>
            </w: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3">
            <w:pPr>
              <w:rPr>
                <w:rFonts w:ascii="Arial" w:cs="Arial" w:eastAsia="Arial" w:hAnsi="Arial"/>
                <w:color w:val="ff0000"/>
                <w:sz w:val="24"/>
                <w:szCs w:val="24"/>
              </w:rPr>
            </w:pPr>
            <w:r w:rsidDel="00000000" w:rsidR="00000000" w:rsidRPr="00000000">
              <w:rPr>
                <w:rFonts w:ascii="Arial" w:cs="Arial" w:eastAsia="Arial" w:hAnsi="Arial"/>
                <w:strike w:val="1"/>
                <w:sz w:val="24"/>
                <w:szCs w:val="24"/>
                <w:rtl w:val="0"/>
              </w:rPr>
              <w:t xml:space="preserve">Senior Modeller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0000"/>
                <w:sz w:val="24"/>
                <w:szCs w:val="24"/>
                <w:rtl w:val="0"/>
              </w:rPr>
              <w:t xml:space="preserve">Senior Modeller/Senior Econometrician/Senior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5">
            <w:pPr>
              <w:rPr>
                <w:rFonts w:ascii="Arial" w:cs="Arial" w:eastAsia="Arial" w:hAnsi="Arial"/>
                <w:color w:val="ff0000"/>
                <w:sz w:val="24"/>
                <w:szCs w:val="24"/>
              </w:rPr>
            </w:pPr>
            <w:r w:rsidDel="00000000" w:rsidR="00000000" w:rsidRPr="00000000">
              <w:rPr>
                <w:rFonts w:ascii="Arial" w:cs="Arial" w:eastAsia="Arial" w:hAnsi="Arial"/>
                <w:strike w:val="1"/>
                <w:sz w:val="24"/>
                <w:szCs w:val="24"/>
                <w:rtl w:val="0"/>
              </w:rPr>
              <w:t xml:space="preserve">Modelle</w:t>
            </w:r>
            <w:r w:rsidDel="00000000" w:rsidR="00000000" w:rsidRPr="00000000">
              <w:rPr>
                <w:rFonts w:ascii="Arial" w:cs="Arial" w:eastAsia="Arial" w:hAnsi="Arial"/>
                <w:sz w:val="24"/>
                <w:szCs w:val="24"/>
                <w:rtl w:val="0"/>
              </w:rPr>
              <w:t xml:space="preserve">r </w:t>
            </w:r>
            <w:r w:rsidDel="00000000" w:rsidR="00000000" w:rsidRPr="00000000">
              <w:rPr>
                <w:rFonts w:ascii="Arial" w:cs="Arial" w:eastAsia="Arial" w:hAnsi="Arial"/>
                <w:color w:val="ff0000"/>
                <w:sz w:val="24"/>
                <w:szCs w:val="24"/>
                <w:rtl w:val="0"/>
              </w:rPr>
              <w:t xml:space="preserve">Modeller/Econometrician, Analyst/Associate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10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6: Lot 4c</w:t>
      </w:r>
    </w:p>
    <w:tbl>
      <w:tblPr>
        <w:tblStyle w:val="Table6"/>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10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10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B">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Counsel/Senior 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D">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E">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F">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0">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1">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2">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3">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4">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5">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6">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7">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8">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9">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A">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B">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D">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Analyst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F">
            <w:pPr>
              <w:rPr>
                <w:rFonts w:ascii="Arial" w:cs="Arial" w:eastAsia="Arial" w:hAnsi="Arial"/>
                <w:color w:val="ff0000"/>
                <w:sz w:val="24"/>
                <w:szCs w:val="24"/>
              </w:rPr>
            </w:pPr>
            <w:r w:rsidDel="00000000" w:rsidR="00000000" w:rsidRPr="00000000">
              <w:rPr>
                <w:rFonts w:ascii="Arial" w:cs="Arial" w:eastAsia="Arial" w:hAnsi="Arial"/>
                <w:strike w:val="1"/>
                <w:sz w:val="24"/>
                <w:szCs w:val="24"/>
                <w:rtl w:val="0"/>
              </w:rPr>
              <w:t xml:space="preserve">Analyst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0000"/>
                <w:sz w:val="24"/>
                <w:szCs w:val="24"/>
                <w:rtl w:val="0"/>
              </w:rPr>
              <w:t xml:space="preserve">Analyst/Associate Analyst/ Research Associate/Research Officer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1">
            <w:pPr>
              <w:rPr>
                <w:rFonts w:ascii="Arial" w:cs="Arial" w:eastAsia="Arial" w:hAnsi="Arial"/>
                <w:color w:val="ff0000"/>
                <w:sz w:val="24"/>
                <w:szCs w:val="24"/>
              </w:rPr>
            </w:pPr>
            <w:r w:rsidDel="00000000" w:rsidR="00000000" w:rsidRPr="00000000">
              <w:rPr>
                <w:rFonts w:ascii="Arial" w:cs="Arial" w:eastAsia="Arial" w:hAnsi="Arial"/>
                <w:strike w:val="1"/>
                <w:sz w:val="24"/>
                <w:szCs w:val="24"/>
                <w:rtl w:val="0"/>
              </w:rPr>
              <w:t xml:space="preserve">Senior Modeller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0000"/>
                <w:sz w:val="24"/>
                <w:szCs w:val="24"/>
                <w:rtl w:val="0"/>
              </w:rPr>
              <w:t xml:space="preserve">Senior Modeller/Senior Econometrician/Senior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3">
            <w:pPr>
              <w:rPr>
                <w:rFonts w:ascii="Arial" w:cs="Arial" w:eastAsia="Arial" w:hAnsi="Arial"/>
                <w:color w:val="ff0000"/>
                <w:sz w:val="24"/>
                <w:szCs w:val="24"/>
              </w:rPr>
            </w:pPr>
            <w:r w:rsidDel="00000000" w:rsidR="00000000" w:rsidRPr="00000000">
              <w:rPr>
                <w:rFonts w:ascii="Arial" w:cs="Arial" w:eastAsia="Arial" w:hAnsi="Arial"/>
                <w:strike w:val="1"/>
                <w:sz w:val="24"/>
                <w:szCs w:val="24"/>
                <w:rtl w:val="0"/>
              </w:rPr>
              <w:t xml:space="preserve">Modelle</w:t>
            </w:r>
            <w:r w:rsidDel="00000000" w:rsidR="00000000" w:rsidRPr="00000000">
              <w:rPr>
                <w:rFonts w:ascii="Arial" w:cs="Arial" w:eastAsia="Arial" w:hAnsi="Arial"/>
                <w:sz w:val="24"/>
                <w:szCs w:val="24"/>
                <w:rtl w:val="0"/>
              </w:rPr>
              <w:t xml:space="preserve">r </w:t>
            </w:r>
            <w:r w:rsidDel="00000000" w:rsidR="00000000" w:rsidRPr="00000000">
              <w:rPr>
                <w:rFonts w:ascii="Arial" w:cs="Arial" w:eastAsia="Arial" w:hAnsi="Arial"/>
                <w:color w:val="ff0000"/>
                <w:sz w:val="24"/>
                <w:szCs w:val="24"/>
                <w:rtl w:val="0"/>
              </w:rPr>
              <w:t xml:space="preserve">Modeller/Econometrician, Analyst/Associate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12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7: Lot 5</w:t>
      </w:r>
    </w:p>
    <w:tbl>
      <w:tblPr>
        <w:tblStyle w:val="Table7"/>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12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12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9">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A">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B">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D">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E">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F">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0">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1">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2">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3">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4">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5">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6">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7">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13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Volume Based Discounts</w:t>
      </w:r>
    </w:p>
    <w:p w:rsidR="00000000" w:rsidDel="00000000" w:rsidP="00000000" w:rsidRDefault="00000000" w:rsidRPr="00000000" w14:paraId="0000013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1: Lots 1, 2, 3 and 5 </w:t>
      </w:r>
    </w:p>
    <w:tbl>
      <w:tblPr>
        <w:tblStyle w:val="Table8"/>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05"/>
        <w:gridCol w:w="3005"/>
        <w:gridCol w:w="3006"/>
        <w:tblGridChange w:id="0">
          <w:tblGrid>
            <w:gridCol w:w="3005"/>
            <w:gridCol w:w="3005"/>
            <w:gridCol w:w="300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13C">
            <w:pPr>
              <w:spacing w:after="20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Threshold 1</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13D">
            <w:pPr>
              <w:spacing w:after="20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Threshold 2</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13E">
            <w:pPr>
              <w:spacing w:after="20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Threshold 3</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3F">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£1m up to £2,499,999.99</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40">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£2.5m up to £4.999,999.99</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41">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£5m and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spacing w:after="20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Volume Discount percentage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3">
            <w:pPr>
              <w:spacing w:after="20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Volume Discount percentage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4">
            <w:pPr>
              <w:spacing w:after="20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Volume Discount percentage (%)]</w:t>
            </w:r>
          </w:p>
        </w:tc>
      </w:tr>
    </w:tbl>
    <w:p w:rsidR="00000000" w:rsidDel="00000000" w:rsidP="00000000" w:rsidRDefault="00000000" w:rsidRPr="00000000" w14:paraId="0000014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2: Lot 4a, 4b and 4c</w:t>
      </w:r>
    </w:p>
    <w:tbl>
      <w:tblPr>
        <w:tblStyle w:val="Table9"/>
        <w:tblW w:w="8925.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530"/>
        <w:gridCol w:w="4395"/>
        <w:tblGridChange w:id="0">
          <w:tblGrid>
            <w:gridCol w:w="4530"/>
            <w:gridCol w:w="439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14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 of Hours</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14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Discount</w:t>
            </w:r>
          </w:p>
        </w:tc>
      </w:tr>
      <w:tr>
        <w:trPr>
          <w:cantSplit w:val="0"/>
          <w:trHeight w:val="636" w:hRule="atLeast"/>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4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500 &gt; 999</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4A">
            <w:pPr>
              <w:rPr>
                <w:rFonts w:ascii="Arial" w:cs="Arial" w:eastAsia="Arial" w:hAnsi="Arial"/>
                <w:b w:val="1"/>
                <w:sz w:val="24"/>
                <w:szCs w:val="24"/>
              </w:rPr>
            </w:pPr>
            <w:r w:rsidDel="00000000" w:rsidR="00000000" w:rsidRPr="00000000">
              <w:rPr>
                <w:rtl w:val="0"/>
              </w:rPr>
            </w:r>
          </w:p>
        </w:tc>
      </w:tr>
      <w:tr>
        <w:trPr>
          <w:cantSplit w:val="0"/>
          <w:trHeight w:val="636" w:hRule="atLeast"/>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4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1000-2999</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4C">
            <w:pPr>
              <w:rPr>
                <w:rFonts w:ascii="Arial" w:cs="Arial" w:eastAsia="Arial" w:hAnsi="Arial"/>
                <w:b w:val="1"/>
                <w:sz w:val="24"/>
                <w:szCs w:val="24"/>
              </w:rPr>
            </w:pPr>
            <w:r w:rsidDel="00000000" w:rsidR="00000000" w:rsidRPr="00000000">
              <w:rPr>
                <w:rtl w:val="0"/>
              </w:rPr>
            </w:r>
          </w:p>
        </w:tc>
      </w:tr>
      <w:tr>
        <w:trPr>
          <w:cantSplit w:val="0"/>
          <w:trHeight w:val="636" w:hRule="atLeast"/>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4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3000+</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4E">
            <w:pP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14F">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15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3: Worked Examples</w:t>
      </w:r>
    </w:p>
    <w:p w:rsidR="00000000" w:rsidDel="00000000" w:rsidP="00000000" w:rsidRDefault="00000000" w:rsidRPr="00000000" w14:paraId="00000151">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Worked Example 1: SPPI: Legal Indexation</w:t>
      </w:r>
    </w:p>
    <w:p w:rsidR="00000000" w:rsidDel="00000000" w:rsidP="00000000" w:rsidRDefault="00000000" w:rsidRPr="00000000" w14:paraId="000001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example, the Framework Start Date is 1 September 2025.</w:t>
      </w:r>
    </w:p>
    <w:p w:rsidR="00000000" w:rsidDel="00000000" w:rsidP="00000000" w:rsidRDefault="00000000" w:rsidRPr="00000000" w14:paraId="000001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 for a specified grade at the Framework Start Date was £200 per hour.  The Framework Prices are fixed for the first two Contract Years so the specified grade remained at £200 per hour until the second anniversary of the Framework Start Date (1 September 2027). </w:t>
      </w:r>
    </w:p>
    <w:p w:rsidR="00000000" w:rsidDel="00000000" w:rsidP="00000000" w:rsidRDefault="00000000" w:rsidRPr="00000000" w14:paraId="000001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SPPI: Legal data issued in July 2027 showed an increase of 3% over the preceding 12 month period (July 2026 to July 2027). The Supplier wanted the Inflation Tracker to be applied at the first Inflation Change Date (being 1 September 2027), and submitted its request by email before 1 June 2027. Framework Prices were increased by 2% at the first Inflation Change Date, meaning the rate for the specified grade increased to £204 per hour during the third Contract Year. </w:t>
      </w:r>
    </w:p>
    <w:p w:rsidR="00000000" w:rsidDel="00000000" w:rsidP="00000000" w:rsidRDefault="00000000" w:rsidRPr="00000000" w14:paraId="000001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Contract was extended by one year. The SPPI: Legal data issued in July 2028 showed an increase of 5% over the preceding 12 month period (July 2027 to July 2028). The Supplier wanted the Inflation Tracker to be applied at the second Inflation Change Date (being 1 September 2028), and submitted its request by email before 1 June 2028. The Framework Prices were increased by 4% at the second Inflation Change Date, meaning the rate for the specified grade increased to £212.16 per hour during the fourth Contract Year. </w:t>
      </w:r>
    </w:p>
    <w:p w:rsidR="00000000" w:rsidDel="00000000" w:rsidP="00000000" w:rsidRDefault="00000000" w:rsidRPr="00000000" w14:paraId="000001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Contract expired at the end of the fourth Contract Year.  The Charges under all Call-Off Contracts which were outstanding post-expiry were not subject to further adjustment in accordance with the Inflation Tracker unless expressly set out in the relevant Call-Off Contract.</w:t>
      </w:r>
    </w:p>
    <w:p w:rsidR="00000000" w:rsidDel="00000000" w:rsidP="00000000" w:rsidRDefault="00000000" w:rsidRPr="00000000" w14:paraId="00000157">
      <w:pPr>
        <w:keepNext w:val="1"/>
        <w:pBdr>
          <w:top w:space="0" w:sz="0" w:val="nil"/>
          <w:left w:space="0" w:sz="0" w:val="nil"/>
          <w:bottom w:space="0" w:sz="0" w:val="nil"/>
          <w:right w:space="0" w:sz="0" w:val="nil"/>
          <w:between w:space="0" w:sz="0" w:val="nil"/>
        </w:pBdr>
        <w:tabs>
          <w:tab w:val="left" w:leader="none" w:pos="3836"/>
        </w:tabs>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Worked Example 2: Forex</w:t>
      </w:r>
    </w:p>
    <w:p w:rsidR="00000000" w:rsidDel="00000000" w:rsidP="00000000" w:rsidRDefault="00000000" w:rsidRPr="00000000" w14:paraId="0000015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example, the Framework Start Date is 1 September 2025.</w:t>
      </w:r>
    </w:p>
    <w:p w:rsidR="00000000" w:rsidDel="00000000" w:rsidP="00000000" w:rsidRDefault="00000000" w:rsidRPr="00000000" w14:paraId="0000015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first Forex Change Date was 1 September 2026, and the first Forex Review Date was Friday 31 July 2026 (being the first Working Day falling 30 days prior to the Forex Change Date). The average strengthening of USD against GBP over the first Forex Review Period (1 August 2025 to 31 July 2026) versus the forex rate at the Framework Start Date was 1.26% and was 3.3% for EUR. </w:t>
      </w:r>
    </w:p>
    <w:p w:rsidR="00000000" w:rsidDel="00000000" w:rsidP="00000000" w:rsidRDefault="00000000" w:rsidRPr="00000000" w14:paraId="0000015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this basis, Suppliers being tracked against USD would receive no increase to the original Framework Prices and Suppliers being tracked against EUR would receive an automatic increase of 3% to their original Framework Prices. ​ NB: The Inflation Tracker does not apply on the first Forex Review Date.  </w:t>
      </w:r>
    </w:p>
    <w:p w:rsidR="00000000" w:rsidDel="00000000" w:rsidP="00000000" w:rsidRDefault="00000000" w:rsidRPr="00000000" w14:paraId="0000015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second Forex Change Date was 1 September 2027, and the second Forex Review Date was 2 August 2027.  The average exchange rate against GBP over the second Forex Review Period (3 August 2026 to 2 August 2027) versus the forex rate at the Framework Start Date was -1% for USD and was 6.6% for EUR. </w:t>
      </w:r>
    </w:p>
    <w:p w:rsidR="00000000" w:rsidDel="00000000" w:rsidP="00000000" w:rsidRDefault="00000000" w:rsidRPr="00000000" w14:paraId="0000015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original Framework Prices for USD tracked Suppliers would not be adjusted on the second Forex Change Date under the Forex Tracker, but may be subject to increase under the Inflation Tracker (if requested appropriately by the Supplier). With effect from the second Forex Change Date, the 3% increase to the EUR tracked Supplier’s original Framework Prices would be discarded and instead, their original Framework Prices would be adjusted first in line with the Inflation Tracker (if requested appropriately by the Supplier), and then by a further 5% under the Forex Tracker. </w:t>
      </w:r>
    </w:p>
    <w:p w:rsidR="00000000" w:rsidDel="00000000" w:rsidP="00000000" w:rsidRDefault="00000000" w:rsidRPr="00000000" w14:paraId="0000015D">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4">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5">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7">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360" w:hanging="360"/>
      </w:pPr>
      <w:rPr>
        <w:b w:val="1"/>
        <w:smallCaps w:val="0"/>
        <w:strike w:val="0"/>
        <w:color w:val="000000"/>
        <w:sz w:val="24"/>
        <w:szCs w:val="24"/>
        <w:u w:val="none"/>
        <w:vertAlign w:val="baseline"/>
      </w:rPr>
    </w:lvl>
    <w:lvl w:ilvl="1">
      <w:start w:val="1"/>
      <w:numFmt w:val="decimal"/>
      <w:lvlText w:val="%1.%2."/>
      <w:lvlJc w:val="righ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right"/>
      <w:pPr>
        <w:ind w:left="1287" w:hanging="720.0000000000001"/>
      </w:pPr>
      <w:rPr>
        <w:b w:val="0"/>
        <w:i w:val="0"/>
        <w:smallCaps w:val="0"/>
        <w:strike w:val="0"/>
        <w:color w:val="000000"/>
        <w:sz w:val="24"/>
        <w:szCs w:val="24"/>
        <w:u w:val="none"/>
        <w:vertAlign w:val="baseline"/>
      </w:rPr>
    </w:lvl>
    <w:lvl w:ilvl="3">
      <w:start w:val="1"/>
      <w:numFmt w:val="lowerLetter"/>
      <w:lvlText w:val="%4)"/>
      <w:lvlJc w:val="left"/>
      <w:pPr>
        <w:ind w:left="2912" w:hanging="360"/>
      </w:pPr>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2">
    <w:lvl w:ilvl="0">
      <w:start w:val="1"/>
      <w:numFmt w:val="decimal"/>
      <w:lvlText w:val="%1."/>
      <w:lvlJc w:val="right"/>
      <w:pPr>
        <w:ind w:left="360" w:hanging="360"/>
      </w:pPr>
      <w:rPr>
        <w:smallCaps w:val="0"/>
        <w:strike w:val="0"/>
        <w:color w:val="000000"/>
        <w:u w:val="none"/>
        <w:vertAlign w:val="baseline"/>
      </w:rPr>
    </w:lvl>
    <w:lvl w:ilvl="1">
      <w:start w:val="1"/>
      <w:numFmt w:val="decimal"/>
      <w:lvlText w:val="%1.%2."/>
      <w:lvlJc w:val="righ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3."/>
      <w:lvlJc w:val="left"/>
      <w:pPr>
        <w:ind w:left="630" w:hanging="360"/>
      </w:pPr>
      <w:rPr/>
    </w:lvl>
    <w:lvl w:ilvl="3">
      <w:start w:val="1"/>
      <w:numFmt w:val="decimal"/>
      <w:lvlText w:val="%1.%2.%3.%4."/>
      <w:lvlJc w:val="right"/>
      <w:pPr>
        <w:ind w:left="3272" w:hanging="720"/>
      </w:pPr>
      <w:rPr>
        <w:rFonts w:ascii="Calibri" w:cs="Calibri" w:eastAsia="Calibri" w:hAnsi="Calibri"/>
        <w:b w:val="0"/>
        <w:i w:val="0"/>
        <w:smallCaps w:val="0"/>
        <w:strike w:val="0"/>
        <w:color w:val="000000"/>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3">
    <w:lvl w:ilvl="0">
      <w:start w:val="1"/>
      <w:numFmt w:val="decimal"/>
      <w:lvlText w:val="%1."/>
      <w:lvlJc w:val="right"/>
      <w:pPr>
        <w:ind w:left="360" w:hanging="360"/>
      </w:pPr>
      <w:rPr>
        <w:smallCaps w:val="0"/>
        <w:strike w:val="0"/>
        <w:color w:val="000000"/>
        <w:u w:val="none"/>
        <w:vertAlign w:val="baseline"/>
      </w:rPr>
    </w:lvl>
    <w:lvl w:ilvl="1">
      <w:start w:val="1"/>
      <w:numFmt w:val="decimal"/>
      <w:lvlText w:val="%1.%2."/>
      <w:lvlJc w:val="righ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3."/>
      <w:lvlJc w:val="left"/>
      <w:pPr>
        <w:ind w:left="630" w:hanging="360"/>
      </w:pPr>
      <w:rPr/>
    </w:lvl>
    <w:lvl w:ilvl="3">
      <w:start w:val="1"/>
      <w:numFmt w:val="decimal"/>
      <w:lvlText w:val="%1.%2.%3.%4."/>
      <w:lvlJc w:val="right"/>
      <w:pPr>
        <w:ind w:left="3272" w:hanging="720"/>
      </w:pPr>
      <w:rPr>
        <w:rFonts w:ascii="Calibri" w:cs="Calibri" w:eastAsia="Calibri" w:hAnsi="Calibri"/>
        <w:b w:val="0"/>
        <w:i w:val="0"/>
        <w:smallCaps w:val="0"/>
        <w:strike w:val="0"/>
        <w:color w:val="000000"/>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cs="Arial" w:eastAsia="Times New Roman"/>
      <w:lang w:eastAsia="zh-CN"/>
    </w:rPr>
  </w:style>
  <w:style w:type="character" w:styleId="GPSL3numberedclauseChar" w:customStyle="1">
    <w:name w:val="GPS L3 numbered clause Char"/>
    <w:link w:val="GPSL3numberedclause"/>
    <w:rPr>
      <w:rFonts w:cs="Arial" w:eastAsia="Times New Roman"/>
      <w:lang w:eastAsia="zh-CN"/>
    </w:rPr>
  </w:style>
  <w:style w:type="character" w:styleId="GPSL4numberedclauseChar" w:customStyle="1">
    <w:name w:val="GPS L4 numbered clause Char"/>
    <w:link w:val="GPSL4numberedclause"/>
    <w:rPr>
      <w:rFonts w:cs="Arial" w:eastAsia="Times New Roman"/>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6" w:customStyle="1">
    <w:name w:val="6"/>
    <w:basedOn w:val="TableNormal"/>
    <w:tblPr>
      <w:tblStyleRowBandSize w:val="1"/>
      <w:tblStyleColBandSize w:val="1"/>
      <w:tblCellMar>
        <w:left w:w="115.0" w:type="dxa"/>
        <w:right w:w="115.0" w:type="dxa"/>
      </w:tblCellMar>
    </w:tblPr>
  </w:style>
  <w:style w:type="table" w:styleId="5" w:customStyle="1">
    <w:name w:val="5"/>
    <w:basedOn w:val="TableNormal"/>
    <w:tblPr>
      <w:tblStyleRowBandSize w:val="1"/>
      <w:tblStyleColBandSize w:val="1"/>
      <w:tblCellMar>
        <w:left w:w="115.0" w:type="dxa"/>
        <w:right w:w="115.0" w:type="dxa"/>
      </w:tblCellMar>
    </w:tblPr>
  </w:style>
  <w:style w:type="table" w:styleId="4" w:customStyle="1">
    <w:name w:val="4"/>
    <w:basedOn w:val="TableNormal"/>
    <w:tblPr>
      <w:tblStyleRowBandSize w:val="1"/>
      <w:tblStyleColBandSize w:val="1"/>
      <w:tblCellMar>
        <w:left w:w="115.0" w:type="dxa"/>
        <w:right w:w="115.0" w:type="dxa"/>
      </w:tblCellMar>
    </w:tblPr>
  </w:style>
  <w:style w:type="table" w:styleId="3" w:customStyle="1">
    <w:name w:val="3"/>
    <w:basedOn w:val="TableNormal"/>
    <w:pPr>
      <w:spacing w:after="0" w:line="240" w:lineRule="auto"/>
    </w:pPr>
    <w:tblPr>
      <w:tblStyleRowBandSize w:val="1"/>
      <w:tblStyleColBandSize w:val="1"/>
      <w:tblCellMar>
        <w:left w:w="115.0" w:type="dxa"/>
        <w:right w:w="115.0" w:type="dxa"/>
      </w:tblCellMar>
    </w:tblPr>
  </w:style>
  <w:style w:type="table" w:styleId="2" w:customStyle="1">
    <w:name w:val="2"/>
    <w:basedOn w:val="TableNormal"/>
    <w:pPr>
      <w:spacing w:after="0" w:line="240" w:lineRule="auto"/>
    </w:pPr>
    <w:tblPr>
      <w:tblStyleRowBandSize w:val="1"/>
      <w:tblStyleColBandSize w:val="1"/>
      <w:tblCellMar>
        <w:left w:w="115.0" w:type="dxa"/>
        <w:right w:w="115.0" w:type="dxa"/>
      </w:tblCellMar>
    </w:tblPr>
  </w:style>
  <w:style w:type="table" w:styleId="1" w:customStyle="1">
    <w:name w:val="1"/>
    <w:basedOn w:val="TableNormal"/>
    <w:pPr>
      <w:spacing w:after="0" w:line="240" w:lineRule="auto"/>
    </w:pPr>
    <w:tblPr>
      <w:tblStyleRowBandSize w:val="1"/>
      <w:tblStyleColBandSize w:val="1"/>
      <w:tblCellMar>
        <w:left w:w="115.0" w:type="dxa"/>
        <w:right w:w="115.0" w:type="dxa"/>
      </w:tblCellMar>
    </w:tblPr>
  </w:style>
  <w:style w:type="paragraph" w:styleId="FootnoteText">
    <w:name w:val="footnote text"/>
    <w:basedOn w:val="Normal"/>
    <w:link w:val="FootnoteTextChar"/>
    <w:uiPriority w:val="99"/>
    <w:semiHidden w:val="1"/>
    <w:unhideWhenUsed w:val="1"/>
    <w:rsid w:val="00FA5FC3"/>
    <w:pPr>
      <w:spacing w:after="0" w:line="240" w:lineRule="auto"/>
    </w:pPr>
    <w:rPr>
      <w:rFonts w:asciiTheme="minorHAnsi" w:cstheme="minorBidi" w:eastAsiaTheme="minorHAnsi" w:hAnsiTheme="minorHAnsi"/>
      <w:sz w:val="20"/>
      <w:szCs w:val="20"/>
      <w:lang w:eastAsia="en-US"/>
    </w:rPr>
  </w:style>
  <w:style w:type="character" w:styleId="FootnoteTextChar" w:customStyle="1">
    <w:name w:val="Footnote Text Char"/>
    <w:basedOn w:val="DefaultParagraphFont"/>
    <w:link w:val="FootnoteText"/>
    <w:uiPriority w:val="99"/>
    <w:semiHidden w:val="1"/>
    <w:rsid w:val="00FA5FC3"/>
    <w:rPr>
      <w:rFonts w:asciiTheme="minorHAnsi" w:cstheme="minorBidi" w:eastAsiaTheme="minorHAnsi" w:hAnsiTheme="minorHAnsi"/>
      <w:sz w:val="20"/>
      <w:szCs w:val="20"/>
      <w:lang w:eastAsia="en-US"/>
    </w:rPr>
  </w:style>
  <w:style w:type="character" w:styleId="FootnoteReference">
    <w:name w:val="footnote reference"/>
    <w:basedOn w:val="DefaultParagraphFont"/>
    <w:uiPriority w:val="99"/>
    <w:semiHidden w:val="1"/>
    <w:unhideWhenUsed w:val="1"/>
    <w:rsid w:val="00FA5FC3"/>
    <w:rPr>
      <w:vertAlign w:val="superscript"/>
    </w:rPr>
  </w:style>
  <w:style w:type="paragraph" w:styleId="pf0" w:customStyle="1">
    <w:name w:val="pf0"/>
    <w:basedOn w:val="Normal"/>
    <w:rsid w:val="00236F26"/>
    <w:pPr>
      <w:spacing w:after="100" w:afterAutospacing="1" w:before="100" w:beforeAutospacing="1" w:line="240" w:lineRule="auto"/>
      <w:ind w:left="1120"/>
    </w:pPr>
    <w:rPr>
      <w:rFonts w:ascii="Times New Roman" w:cs="Times New Roman" w:eastAsia="Times New Roman" w:hAnsi="Times New Roman"/>
      <w:sz w:val="24"/>
      <w:szCs w:val="24"/>
    </w:rPr>
  </w:style>
  <w:style w:type="paragraph" w:styleId="pf1" w:customStyle="1">
    <w:name w:val="pf1"/>
    <w:basedOn w:val="Normal"/>
    <w:rsid w:val="00236F26"/>
    <w:pPr>
      <w:spacing w:after="100" w:afterAutospacing="1" w:before="100" w:beforeAutospacing="1" w:line="240" w:lineRule="auto"/>
      <w:ind w:left="1640"/>
    </w:pPr>
    <w:rPr>
      <w:rFonts w:ascii="Times New Roman" w:cs="Times New Roman" w:eastAsia="Times New Roman" w:hAnsi="Times New Roman"/>
      <w:sz w:val="24"/>
      <w:szCs w:val="24"/>
    </w:rPr>
  </w:style>
  <w:style w:type="character" w:styleId="cf01" w:customStyle="1">
    <w:name w:val="cf01"/>
    <w:basedOn w:val="DefaultParagraphFont"/>
    <w:rsid w:val="00236F26"/>
    <w:rPr>
      <w:rFonts w:ascii="Segoe UI" w:cs="Segoe UI" w:hAnsi="Segoe UI" w:hint="default"/>
      <w:sz w:val="18"/>
      <w:szCs w:val="18"/>
    </w:rPr>
  </w:style>
  <w:style w:type="character" w:styleId="cf11" w:customStyle="1">
    <w:name w:val="cf11"/>
    <w:basedOn w:val="DefaultParagraphFont"/>
    <w:rsid w:val="00236F26"/>
    <w:rPr>
      <w:rFonts w:ascii="Segoe UI" w:cs="Segoe UI" w:hAnsi="Segoe UI" w:hint="default"/>
      <w:sz w:val="18"/>
      <w:szCs w:val="18"/>
    </w:rPr>
  </w:style>
  <w:style w:type="paragraph" w:styleId="NormalWeb">
    <w:name w:val="Normal (Web)"/>
    <w:basedOn w:val="Normal"/>
    <w:uiPriority w:val="99"/>
    <w:semiHidden w:val="1"/>
    <w:unhideWhenUsed w:val="1"/>
    <w:rsid w:val="00236F26"/>
    <w:pPr>
      <w:spacing w:after="100" w:afterAutospacing="1" w:before="100" w:beforeAutospacing="1" w:line="240" w:lineRule="auto"/>
    </w:pPr>
    <w:rPr>
      <w:rFonts w:ascii="Times New Roman" w:cs="Times New Roman" w:eastAsia="Times New Roman" w:hAnsi="Times New Roman"/>
      <w:sz w:val="24"/>
      <w:szCs w:val="24"/>
    </w:rPr>
  </w:style>
  <w:style w:type="paragraph" w:styleId="ListParagraph">
    <w:name w:val="List Paragraph"/>
    <w:basedOn w:val="Normal"/>
    <w:uiPriority w:val="34"/>
    <w:qFormat w:val="1"/>
    <w:rsid w:val="00496D08"/>
    <w:pPr>
      <w:ind w:left="720"/>
      <w:contextualSpacing w:val="1"/>
    </w:p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pPr>
      <w:spacing w:after="0" w:line="240" w:lineRule="auto"/>
    </w:pPr>
    <w:tblPr>
      <w:tblStyleRowBandSize w:val="1"/>
      <w:tblStyleColBandSize w:val="1"/>
    </w:tblPr>
  </w:style>
  <w:style w:type="table" w:styleId="a7"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UTQqAnS5ZgHs+cl3k93pFBvF5Q==">CgMxLjAyCGguZ2pkZ3hzMgppZC4zem55c2g3MgloLjMwajB6bGwyCWguM3pueXNoNzIJaC4yczhleW8xMgloLjE3ZHA4dnUyCWguM3JkY3JqbjIJaC4yNmluMXJnMghoLmxueGJ6OTIJaC4zNW5rdW4yMgloLjFrc3Y0dXYyCGgudHlqY3d0MgloLjQ0c2luaW8yCWguMmp4c3hxaDIIaC56MzM3eWEyCWguM2R5NnZrbTIJaC4zajJxcW0zMgloLjF5ODEwdHcyCWguNGk3b2pocDIJaC4yeGN5dHBpMgloLjFjaTkzeGIyCWguMXQzaDVzZjIJaC40ZDM0b2c4OAByITFrNlVfLWk4VC1zT2hVN21zd0JVdElVUUNoUERLLUM1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2025-01-30T08:53:00Z</dcterms:created>
  <dc:creator>Lucy Pringle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